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24DA" w14:textId="77777777" w:rsidR="00D975D2" w:rsidRDefault="00E508F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количестве субъектов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МСП  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территории муниципального образования «Город Батайск» и их классификации по видам деятельности 01.07.2021</w:t>
      </w:r>
    </w:p>
    <w:tbl>
      <w:tblPr>
        <w:tblW w:w="10205" w:type="dxa"/>
        <w:tblInd w:w="-52" w:type="dxa"/>
        <w:tblCellMar>
          <w:top w:w="75" w:type="dxa"/>
          <w:left w:w="56" w:type="dxa"/>
          <w:bottom w:w="56" w:type="dxa"/>
          <w:right w:w="151" w:type="dxa"/>
        </w:tblCellMar>
        <w:tblLook w:val="0600" w:firstRow="0" w:lastRow="0" w:firstColumn="0" w:lastColumn="0" w:noHBand="1" w:noVBand="1"/>
      </w:tblPr>
      <w:tblGrid>
        <w:gridCol w:w="2614"/>
        <w:gridCol w:w="1897"/>
        <w:gridCol w:w="1898"/>
        <w:gridCol w:w="1898"/>
        <w:gridCol w:w="1898"/>
      </w:tblGrid>
      <w:tr w:rsidR="00D975D2" w14:paraId="67DCEDE3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0B767C91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Основной вид деятельности субъектов малого предпринимательства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B957115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2018г.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0F202B7E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2019г.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03133B9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2020г.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A9A2DD3" w14:textId="1D250D43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2021г. (2 кв.)</w:t>
            </w:r>
          </w:p>
        </w:tc>
      </w:tr>
      <w:tr w:rsidR="00D975D2" w14:paraId="1F0EC1FC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19F0F6F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Всего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E1FD35D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1550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5FC7FE9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1554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2C3E17D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1500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FAE5C11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1505</w:t>
            </w:r>
          </w:p>
        </w:tc>
      </w:tr>
      <w:tr w:rsidR="00D975D2" w14:paraId="27A42996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43490CE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Добыча полезных ископаемых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FA3E16A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0D0B6A4A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09F95701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D8B64BB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0</w:t>
            </w:r>
          </w:p>
        </w:tc>
      </w:tr>
      <w:tr w:rsidR="00D975D2" w14:paraId="3FC4E1BA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FDC1630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Обрабатывающие производства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94C2035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125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87C52E5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125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484D329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124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6A5C009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124</w:t>
            </w:r>
          </w:p>
        </w:tc>
      </w:tr>
      <w:tr w:rsidR="00D975D2" w14:paraId="019FB26D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F1468D8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Деятельность в области информации и связи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4D072339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5DF2C2F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DAEBED1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3DB5D86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20</w:t>
            </w:r>
          </w:p>
        </w:tc>
      </w:tr>
      <w:tr w:rsidR="00D975D2" w14:paraId="34B9E8C1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68CC3C8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 xml:space="preserve">обеспечение электрической </w:t>
            </w:r>
            <w:proofErr w:type="gramStart"/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энергией ,</w:t>
            </w:r>
            <w:proofErr w:type="gramEnd"/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 xml:space="preserve"> газом, паром, </w:t>
            </w:r>
            <w:proofErr w:type="spellStart"/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кондиционировние</w:t>
            </w:r>
            <w:proofErr w:type="spellEnd"/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 xml:space="preserve"> воздуха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413FB4BC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440576E0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0AE3C67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7500AC4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2</w:t>
            </w:r>
          </w:p>
        </w:tc>
      </w:tr>
      <w:tr w:rsidR="00D975D2" w14:paraId="4EC80259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B230F00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Строительство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B035980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43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A8D6FEB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43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F0B8448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31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7DE8604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35</w:t>
            </w:r>
          </w:p>
        </w:tc>
      </w:tr>
      <w:tr w:rsidR="00D975D2" w14:paraId="77E838C7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A0EE154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7E73AEA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813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CCC1652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816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C813689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793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415EB15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804</w:t>
            </w:r>
          </w:p>
        </w:tc>
      </w:tr>
      <w:tr w:rsidR="00D975D2" w14:paraId="13790BA5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2D71452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Транспортировка и хранение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033422A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36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97E1DD3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38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64AF5F4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33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4CA645C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32</w:t>
            </w:r>
          </w:p>
        </w:tc>
      </w:tr>
      <w:tr w:rsidR="00D975D2" w14:paraId="43CB0AB5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5C073E9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32B899C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84B08F4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11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1A345F8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FBFFFF4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5</w:t>
            </w:r>
          </w:p>
        </w:tc>
      </w:tr>
      <w:tr w:rsidR="00D975D2" w14:paraId="6EC8ED6E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F669E24" w14:textId="77777777" w:rsidR="00D975D2" w:rsidRDefault="00E508FE">
            <w:pPr>
              <w:widowControl w:val="0"/>
              <w:spacing w:line="240" w:lineRule="auto"/>
              <w:rPr>
                <w:rFonts w:ascii="Verdana" w:hAnsi="Verdana"/>
                <w:color w:val="1B1B1B"/>
              </w:rPr>
            </w:pPr>
            <w:proofErr w:type="gramStart"/>
            <w:r>
              <w:rPr>
                <w:rFonts w:ascii="Verdana" w:hAnsi="Verdana"/>
                <w:color w:val="1B1B1B"/>
              </w:rPr>
              <w:t>Сельское ,</w:t>
            </w:r>
            <w:proofErr w:type="gramEnd"/>
            <w:r>
              <w:rPr>
                <w:rFonts w:ascii="Verdana" w:hAnsi="Verdana"/>
                <w:color w:val="1B1B1B"/>
              </w:rPr>
              <w:t xml:space="preserve"> лесное </w:t>
            </w:r>
            <w:r>
              <w:rPr>
                <w:rFonts w:ascii="Verdana" w:hAnsi="Verdana"/>
                <w:color w:val="1B1B1B"/>
              </w:rPr>
              <w:t>хозяйство, охота , рыболовство и рыбоводство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ECDA37D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205FF80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B27AC8A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C12F836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4</w:t>
            </w:r>
          </w:p>
        </w:tc>
      </w:tr>
      <w:tr w:rsidR="00D975D2" w14:paraId="07291EB1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D498F8C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Деятельность прочих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A14A7A0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485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056FA70E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486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768765D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482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D91A30D" w14:textId="77777777" w:rsidR="00D975D2" w:rsidRDefault="00E508FE">
            <w:pPr>
              <w:widowControl w:val="0"/>
              <w:p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479</w:t>
            </w:r>
          </w:p>
        </w:tc>
      </w:tr>
    </w:tbl>
    <w:p w14:paraId="4F8B0E3E" w14:textId="77777777" w:rsidR="00D975D2" w:rsidRDefault="00E508FE">
      <w:pPr>
        <w:widowControl w:val="0"/>
        <w:spacing w:after="0" w:line="480" w:lineRule="atLeast"/>
        <w:jc w:val="center"/>
      </w:pPr>
      <w:r>
        <w:rPr>
          <w:rFonts w:ascii="Times New Roman" w:eastAsia="SimSun" w:hAnsi="Times New Roman" w:cs="Times New Roman"/>
          <w:b/>
          <w:color w:val="1B1B1B"/>
          <w:sz w:val="27"/>
          <w:szCs w:val="20"/>
        </w:rPr>
        <w:t>Основные показатели деятельности малых и средних предприятий (в т. ч. микропредприятий) города Батайска</w:t>
      </w:r>
    </w:p>
    <w:tbl>
      <w:tblPr>
        <w:tblW w:w="10205" w:type="dxa"/>
        <w:tblInd w:w="-52" w:type="dxa"/>
        <w:tblCellMar>
          <w:top w:w="75" w:type="dxa"/>
          <w:left w:w="56" w:type="dxa"/>
          <w:bottom w:w="56" w:type="dxa"/>
          <w:right w:w="151" w:type="dxa"/>
        </w:tblCellMar>
        <w:tblLook w:val="0600" w:firstRow="0" w:lastRow="0" w:firstColumn="0" w:lastColumn="0" w:noHBand="1" w:noVBand="1"/>
      </w:tblPr>
      <w:tblGrid>
        <w:gridCol w:w="2133"/>
        <w:gridCol w:w="2008"/>
        <w:gridCol w:w="2008"/>
        <w:gridCol w:w="2028"/>
        <w:gridCol w:w="2028"/>
      </w:tblGrid>
      <w:tr w:rsidR="00D975D2" w14:paraId="0FA62E8A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4AE453B" w14:textId="77777777" w:rsidR="00D975D2" w:rsidRDefault="00E508FE">
            <w:pPr>
              <w:widowControl w:val="0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spacing w:after="0" w:line="240" w:lineRule="auto"/>
              <w:rPr>
                <w:rFonts w:ascii="Verdana" w:eastAsia="SimSun" w:hAnsi="Verdana" w:cs="Times New Roman" w:hint="eastAsia"/>
                <w:b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b/>
                <w:color w:val="1B1B1B"/>
                <w:sz w:val="21"/>
                <w:szCs w:val="20"/>
              </w:rPr>
              <w:t>Наименование показателя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4CA2A0B4" w14:textId="77777777" w:rsidR="00D975D2" w:rsidRDefault="00E508FE">
            <w:pPr>
              <w:widowControl w:val="0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spacing w:after="0" w:line="240" w:lineRule="auto"/>
            </w:pPr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</w:rPr>
              <w:t>2018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5FC030B" w14:textId="77777777" w:rsidR="00D975D2" w:rsidRDefault="00E508FE">
            <w:pPr>
              <w:widowControl w:val="0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spacing w:after="0" w:line="240" w:lineRule="auto"/>
            </w:pPr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</w:rPr>
              <w:t>2019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000D74D2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2020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F475C21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2021</w:t>
            </w:r>
          </w:p>
        </w:tc>
      </w:tr>
      <w:tr w:rsidR="00D975D2" w14:paraId="0F8189F9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5542F5C" w14:textId="77777777" w:rsidR="00D975D2" w:rsidRDefault="00E508FE">
            <w:pPr>
              <w:widowControl w:val="0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spacing w:after="0" w:line="240" w:lineRule="auto"/>
              <w:rPr>
                <w:rFonts w:ascii="Verdana" w:eastAsia="SimSun" w:hAnsi="Verdana" w:cs="Times New Roman" w:hint="eastAsia"/>
                <w:color w:val="1B1B1B"/>
                <w:sz w:val="21"/>
                <w:szCs w:val="20"/>
              </w:rPr>
            </w:pPr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Среднесписочная численность работников (</w:t>
            </w:r>
            <w:proofErr w:type="spellStart"/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>тыс</w:t>
            </w:r>
            <w:proofErr w:type="spellEnd"/>
            <w:r>
              <w:rPr>
                <w:rFonts w:ascii="Verdana" w:eastAsia="SimSun" w:hAnsi="Verdana" w:cs="Times New Roman"/>
                <w:color w:val="1B1B1B"/>
                <w:sz w:val="21"/>
                <w:szCs w:val="20"/>
              </w:rPr>
              <w:t xml:space="preserve"> чел)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9A9C459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 xml:space="preserve">6,080 </w:t>
            </w:r>
            <w:r>
              <w:rPr>
                <w:color w:val="1B1B1B"/>
                <w:sz w:val="21"/>
                <w:szCs w:val="21"/>
              </w:rPr>
              <w:t>(кроме того, 4920-ИП)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40DE61C6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6,098</w:t>
            </w:r>
            <w:r>
              <w:rPr>
                <w:color w:val="1B1B1B"/>
                <w:sz w:val="21"/>
                <w:szCs w:val="21"/>
              </w:rPr>
              <w:t xml:space="preserve"> (кроме того, 5158-ИП)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E59C1CC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5,992</w:t>
            </w:r>
            <w:r>
              <w:rPr>
                <w:color w:val="1B1B1B"/>
                <w:sz w:val="20"/>
                <w:szCs w:val="20"/>
              </w:rPr>
              <w:t xml:space="preserve"> (кроме того, 4710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446C72EB" w14:textId="77777777" w:rsidR="00D975D2" w:rsidRDefault="00E508FE">
            <w:pPr>
              <w:widowControl w:val="0"/>
            </w:pPr>
            <w:r>
              <w:rPr>
                <w:color w:val="1B1B1B"/>
                <w:sz w:val="24"/>
              </w:rPr>
              <w:t xml:space="preserve">5,995 </w:t>
            </w:r>
            <w:r>
              <w:rPr>
                <w:color w:val="1B1B1B"/>
                <w:sz w:val="20"/>
                <w:szCs w:val="20"/>
              </w:rPr>
              <w:t xml:space="preserve">(кроме того, 4760 </w:t>
            </w:r>
            <w:r>
              <w:rPr>
                <w:color w:val="1B1B1B"/>
                <w:sz w:val="20"/>
                <w:szCs w:val="20"/>
              </w:rPr>
              <w:t xml:space="preserve">ИП, 1534- </w:t>
            </w:r>
            <w:r>
              <w:rPr>
                <w:color w:val="1B1B1B"/>
                <w:sz w:val="20"/>
                <w:szCs w:val="20"/>
              </w:rPr>
              <w:t>самозанятых)</w:t>
            </w:r>
          </w:p>
        </w:tc>
      </w:tr>
      <w:tr w:rsidR="00D975D2" w14:paraId="286B54F2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796DECF" w14:textId="77777777" w:rsidR="00D975D2" w:rsidRDefault="00E508FE">
            <w:pPr>
              <w:widowControl w:val="0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spacing w:after="0" w:line="240" w:lineRule="auto"/>
            </w:pPr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lastRenderedPageBreak/>
              <w:t>Среднемесячная заработная плата (</w:t>
            </w:r>
            <w:proofErr w:type="spellStart"/>
            <w:proofErr w:type="gramStart"/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>тыс,руб</w:t>
            </w:r>
            <w:proofErr w:type="spellEnd"/>
            <w:proofErr w:type="gramEnd"/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>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1EEA4BB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24,0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B328BBF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25,8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0D281B4C" w14:textId="77777777" w:rsidR="00D975D2" w:rsidRDefault="00E508FE">
            <w:pPr>
              <w:widowControl w:val="0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 xml:space="preserve">Малые </w:t>
            </w:r>
            <w:r>
              <w:rPr>
                <w:color w:val="1B1B1B"/>
                <w:sz w:val="24"/>
              </w:rPr>
              <w:t>предприятия-25,8;</w:t>
            </w:r>
          </w:p>
          <w:p w14:paraId="56ABDE4B" w14:textId="77777777" w:rsidR="00D975D2" w:rsidRDefault="00E508FE">
            <w:pPr>
              <w:widowControl w:val="0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средние — 29,8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A7BB91E" w14:textId="77777777" w:rsidR="00D975D2" w:rsidRDefault="00E508FE">
            <w:pPr>
              <w:widowControl w:val="0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Малые предприятия-27,2;</w:t>
            </w:r>
          </w:p>
          <w:p w14:paraId="17796D85" w14:textId="77777777" w:rsidR="00D975D2" w:rsidRDefault="00E508FE">
            <w:pPr>
              <w:widowControl w:val="0"/>
              <w:spacing w:line="240" w:lineRule="auto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средние — 31,0</w:t>
            </w:r>
          </w:p>
        </w:tc>
      </w:tr>
      <w:tr w:rsidR="00D975D2" w14:paraId="58D1ABF9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8A68249" w14:textId="77777777" w:rsidR="00D975D2" w:rsidRDefault="00E508FE">
            <w:pPr>
              <w:widowControl w:val="0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spacing w:after="0" w:line="240" w:lineRule="auto"/>
            </w:pPr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 xml:space="preserve">Оборот (млн. </w:t>
            </w:r>
            <w:proofErr w:type="spellStart"/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>руб</w:t>
            </w:r>
            <w:proofErr w:type="spellEnd"/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>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66E0F11A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20300,0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5E8E5054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21300,0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14AC9736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22000,0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3C31AD49" w14:textId="422BC17A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11124,7</w:t>
            </w:r>
          </w:p>
        </w:tc>
      </w:tr>
      <w:tr w:rsidR="00D975D2" w14:paraId="26250DFF" w14:textId="77777777"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EBF6338" w14:textId="77777777" w:rsidR="00D975D2" w:rsidRDefault="00E508FE">
            <w:pPr>
              <w:widowControl w:val="0"/>
              <w:pBdr>
                <w:top w:val="single" w:sz="6" w:space="0" w:color="828282"/>
                <w:left w:val="single" w:sz="6" w:space="0" w:color="828282"/>
                <w:bottom w:val="single" w:sz="6" w:space="0" w:color="828282"/>
                <w:right w:val="single" w:sz="6" w:space="0" w:color="828282"/>
              </w:pBdr>
              <w:spacing w:after="0" w:line="240" w:lineRule="auto"/>
            </w:pPr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 xml:space="preserve">Инвестиции в основной </w:t>
            </w:r>
            <w:proofErr w:type="gramStart"/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>капитал(</w:t>
            </w:r>
            <w:proofErr w:type="gramEnd"/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 xml:space="preserve">млн. </w:t>
            </w:r>
            <w:proofErr w:type="spellStart"/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>руб</w:t>
            </w:r>
            <w:proofErr w:type="spellEnd"/>
            <w:r>
              <w:rPr>
                <w:rStyle w:val="-"/>
                <w:rFonts w:ascii="Verdana" w:eastAsia="SimSun" w:hAnsi="Verdana" w:cs="Times New Roman"/>
                <w:color w:val="1B1B1B"/>
                <w:sz w:val="21"/>
                <w:szCs w:val="20"/>
                <w:u w:val="none"/>
              </w:rPr>
              <w:t>)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0F4E4D8A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1617,3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4A0153B7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1712,8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2FF5703E" w14:textId="77777777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1956,4</w:t>
            </w:r>
          </w:p>
        </w:tc>
        <w:tc>
          <w:tcPr>
            <w:tcW w:w="2041" w:type="dxa"/>
            <w:tcBorders>
              <w:top w:val="single" w:sz="6" w:space="0" w:color="E0E0E0"/>
              <w:left w:val="single" w:sz="6" w:space="0" w:color="E0E0E0"/>
            </w:tcBorders>
            <w:shd w:val="clear" w:color="auto" w:fill="auto"/>
          </w:tcPr>
          <w:p w14:paraId="75DFCF6A" w14:textId="3B346128" w:rsidR="00D975D2" w:rsidRDefault="00E508FE">
            <w:pPr>
              <w:widowControl w:val="0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873,0</w:t>
            </w:r>
          </w:p>
        </w:tc>
      </w:tr>
    </w:tbl>
    <w:p w14:paraId="7696A61B" w14:textId="77777777" w:rsidR="00D975D2" w:rsidRDefault="00D975D2">
      <w:pPr>
        <w:pStyle w:val="a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B1B1B"/>
          <w:sz w:val="24"/>
          <w:szCs w:val="24"/>
        </w:rPr>
      </w:pPr>
    </w:p>
    <w:p w14:paraId="0C6F5C0A" w14:textId="77777777" w:rsidR="00D975D2" w:rsidRDefault="00D975D2">
      <w:pPr>
        <w:pStyle w:val="a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2A936C" w14:textId="77777777" w:rsidR="00D975D2" w:rsidRDefault="00E508FE">
      <w:pPr>
        <w:pStyle w:val="2"/>
        <w:spacing w:line="240" w:lineRule="auto"/>
        <w:jc w:val="center"/>
      </w:pPr>
      <w:hyperlink r:id="rId4">
        <w:r>
          <w:rPr>
            <w:rFonts w:ascii="Times New Roman" w:hAnsi="Times New Roman"/>
            <w:b w:val="0"/>
            <w:color w:val="041FE9"/>
            <w:sz w:val="32"/>
            <w:szCs w:val="32"/>
          </w:rPr>
  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М</w:t>
        </w:r>
        <w:r>
          <w:rPr>
            <w:rFonts w:ascii="Times New Roman" w:hAnsi="Times New Roman"/>
            <w:b w:val="0"/>
            <w:color w:val="041FE9"/>
            <w:sz w:val="32"/>
            <w:szCs w:val="32"/>
          </w:rPr>
          <w:t xml:space="preserve">униципального образования «Город Батайск» </w:t>
        </w:r>
      </w:hyperlink>
    </w:p>
    <w:p w14:paraId="27665B05" w14:textId="77777777" w:rsidR="00D975D2" w:rsidRDefault="00E508FE">
      <w:pPr>
        <w:pStyle w:val="a0"/>
        <w:spacing w:before="120" w:after="120"/>
        <w:jc w:val="both"/>
      </w:pPr>
      <w:r>
        <w:rPr>
          <w:rFonts w:ascii="Times New Roman" w:hAnsi="Times New Roman"/>
          <w:color w:val="333333"/>
          <w:sz w:val="28"/>
          <w:szCs w:val="28"/>
        </w:rPr>
        <w:t xml:space="preserve">Анализ о состоянии, проблем и перспектив развития малого и среднего предпринимательства на территории муниципального образования «Город Батайск» по итогам 2020 года подготовлен на основании статьи 11 Федерального </w:t>
      </w:r>
      <w:r>
        <w:rPr>
          <w:rFonts w:ascii="Times New Roman" w:hAnsi="Times New Roman"/>
          <w:color w:val="333333"/>
          <w:sz w:val="28"/>
          <w:szCs w:val="28"/>
        </w:rPr>
        <w:t>закона от 24 июля 2007 г. № 209-ФЗ «О развитии малого и среднего предпринимательства в Российской Федерации».</w:t>
      </w:r>
    </w:p>
    <w:p w14:paraId="1CBE9EEB" w14:textId="77777777" w:rsidR="00D975D2" w:rsidRDefault="00E508FE">
      <w:pPr>
        <w:pStyle w:val="a0"/>
        <w:spacing w:before="120" w:after="120"/>
        <w:jc w:val="both"/>
      </w:pPr>
      <w:r>
        <w:rPr>
          <w:rFonts w:ascii="Times New Roman" w:hAnsi="Times New Roman"/>
          <w:color w:val="1B1B1B"/>
          <w:sz w:val="28"/>
          <w:szCs w:val="28"/>
        </w:rPr>
        <w:t xml:space="preserve">Структура малых предприятий на территории города Батайска по видам экономической деятельности в течение ряда лет остается практически неизменной. </w:t>
      </w:r>
      <w:r>
        <w:rPr>
          <w:rFonts w:ascii="Times New Roman" w:hAnsi="Times New Roman"/>
          <w:color w:val="1B1B1B"/>
          <w:sz w:val="28"/>
          <w:szCs w:val="28"/>
        </w:rPr>
        <w:t>Преимущественное развитие в малом и среднем предпринимательстве получили торговля и сфера услуг.</w:t>
      </w:r>
    </w:p>
    <w:p w14:paraId="57E35784" w14:textId="77777777" w:rsidR="00D975D2" w:rsidRDefault="00E508FE">
      <w:pPr>
        <w:pStyle w:val="a0"/>
        <w:spacing w:before="120" w:after="120"/>
        <w:jc w:val="both"/>
      </w:pPr>
      <w:r>
        <w:rPr>
          <w:rFonts w:ascii="Times New Roman" w:hAnsi="Times New Roman"/>
          <w:color w:val="1B1B1B"/>
          <w:sz w:val="28"/>
          <w:szCs w:val="28"/>
        </w:rPr>
        <w:t xml:space="preserve">В муниципальном образовании «Город Батайск» на 01.04.2021года количество действующих малых </w:t>
      </w:r>
      <w:proofErr w:type="gramStart"/>
      <w:r>
        <w:rPr>
          <w:rFonts w:ascii="Times New Roman" w:hAnsi="Times New Roman"/>
          <w:color w:val="1B1B1B"/>
          <w:sz w:val="28"/>
          <w:szCs w:val="28"/>
        </w:rPr>
        <w:t>предприятий  (</w:t>
      </w:r>
      <w:proofErr w:type="gramEnd"/>
      <w:r>
        <w:rPr>
          <w:rFonts w:ascii="Times New Roman" w:hAnsi="Times New Roman"/>
          <w:color w:val="1B1B1B"/>
          <w:sz w:val="28"/>
          <w:szCs w:val="28"/>
        </w:rPr>
        <w:t>в т.ч. микропредприятия) составило — 1490, средних- 15</w:t>
      </w:r>
      <w:r>
        <w:rPr>
          <w:rFonts w:ascii="Times New Roman" w:hAnsi="Times New Roman"/>
          <w:color w:val="1B1B1B"/>
          <w:sz w:val="28"/>
          <w:szCs w:val="28"/>
        </w:rPr>
        <w:t>.</w:t>
      </w:r>
    </w:p>
    <w:p w14:paraId="47A13AFE" w14:textId="77777777" w:rsidR="00D975D2" w:rsidRDefault="00E508FE">
      <w:pPr>
        <w:pStyle w:val="a0"/>
        <w:spacing w:before="120" w:after="120"/>
        <w:jc w:val="both"/>
      </w:pPr>
      <w:r>
        <w:rPr>
          <w:rFonts w:ascii="Times New Roman" w:hAnsi="Times New Roman"/>
          <w:color w:val="1B1B1B"/>
          <w:sz w:val="28"/>
          <w:szCs w:val="28"/>
        </w:rPr>
        <w:t>В целом на территории муниципального образования «Город Батайск» прослеживается положительная динамика развития субъектов малого и среднего предпринимательства.</w:t>
      </w:r>
    </w:p>
    <w:p w14:paraId="0F610C86" w14:textId="77777777" w:rsidR="00D975D2" w:rsidRDefault="00E508FE">
      <w:pPr>
        <w:pStyle w:val="a0"/>
        <w:spacing w:after="0"/>
        <w:jc w:val="both"/>
      </w:pPr>
      <w:r>
        <w:rPr>
          <w:rStyle w:val="a9"/>
          <w:rFonts w:ascii="Times New Roman" w:hAnsi="Times New Roman"/>
          <w:b w:val="0"/>
          <w:color w:val="1B1B1B"/>
          <w:sz w:val="28"/>
          <w:szCs w:val="28"/>
        </w:rPr>
        <w:t>Развитие инфраструктуры поддержки субъектов малого и среднего предпринимательства.</w:t>
      </w:r>
    </w:p>
    <w:p w14:paraId="192A39E3" w14:textId="77777777" w:rsidR="00D975D2" w:rsidRDefault="00E508FE">
      <w:pPr>
        <w:pStyle w:val="a0"/>
        <w:spacing w:before="120" w:after="120"/>
        <w:jc w:val="both"/>
      </w:pPr>
      <w:r>
        <w:rPr>
          <w:rFonts w:ascii="Times New Roman" w:hAnsi="Times New Roman"/>
          <w:color w:val="1B1B1B"/>
          <w:sz w:val="28"/>
          <w:szCs w:val="28"/>
        </w:rPr>
        <w:t>В настояще</w:t>
      </w:r>
      <w:r>
        <w:rPr>
          <w:rFonts w:ascii="Times New Roman" w:hAnsi="Times New Roman"/>
          <w:color w:val="1B1B1B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color w:val="1B1B1B"/>
          <w:sz w:val="28"/>
          <w:szCs w:val="28"/>
        </w:rPr>
        <w:t>время  в</w:t>
      </w:r>
      <w:proofErr w:type="gramEnd"/>
      <w:r>
        <w:rPr>
          <w:rFonts w:ascii="Times New Roman" w:hAnsi="Times New Roman"/>
          <w:color w:val="1B1B1B"/>
          <w:sz w:val="28"/>
          <w:szCs w:val="28"/>
        </w:rPr>
        <w:t xml:space="preserve"> городе не осуществляют деятельность организации - объекты инфраструктуры поддержки субъектов малого и среднего предпринимательства.</w:t>
      </w:r>
    </w:p>
    <w:p w14:paraId="03FB7EB4" w14:textId="77777777" w:rsidR="00D975D2" w:rsidRDefault="00E508FE">
      <w:pPr>
        <w:pStyle w:val="a0"/>
        <w:spacing w:after="0"/>
        <w:jc w:val="both"/>
      </w:pPr>
      <w:r>
        <w:rPr>
          <w:rStyle w:val="a9"/>
          <w:rFonts w:ascii="Times New Roman" w:hAnsi="Times New Roman"/>
          <w:b w:val="0"/>
          <w:color w:val="1B1B1B"/>
          <w:sz w:val="28"/>
          <w:szCs w:val="28"/>
        </w:rPr>
        <w:t>Основные проблемы, перспективы развития малого и среднего предпринимательства на территории муниципального образо</w:t>
      </w:r>
      <w:r>
        <w:rPr>
          <w:rStyle w:val="a9"/>
          <w:rFonts w:ascii="Times New Roman" w:hAnsi="Times New Roman"/>
          <w:b w:val="0"/>
          <w:color w:val="1B1B1B"/>
          <w:sz w:val="28"/>
          <w:szCs w:val="28"/>
        </w:rPr>
        <w:t>вания «Город Батайск».</w:t>
      </w:r>
    </w:p>
    <w:p w14:paraId="62386C92" w14:textId="77777777" w:rsidR="00D975D2" w:rsidRDefault="00E508FE">
      <w:pPr>
        <w:pStyle w:val="a0"/>
        <w:spacing w:before="120" w:after="120"/>
        <w:jc w:val="both"/>
      </w:pPr>
      <w:r>
        <w:rPr>
          <w:rFonts w:ascii="Times New Roman" w:hAnsi="Times New Roman"/>
          <w:color w:val="1B1B1B"/>
          <w:sz w:val="28"/>
          <w:szCs w:val="28"/>
        </w:rPr>
        <w:lastRenderedPageBreak/>
        <w:t>На развитие предпринимательства на территории города Батайска серьезное влияние оказывают существующая экономическая ситуация и связанные с ней общие проблемы:</w:t>
      </w:r>
    </w:p>
    <w:p w14:paraId="29AA0B2F" w14:textId="77777777" w:rsidR="00D975D2" w:rsidRDefault="00E508FE">
      <w:pPr>
        <w:pStyle w:val="a0"/>
        <w:spacing w:before="120" w:after="120"/>
        <w:jc w:val="both"/>
      </w:pPr>
      <w:r>
        <w:rPr>
          <w:rFonts w:ascii="Times New Roman" w:hAnsi="Times New Roman"/>
          <w:color w:val="1B1B1B"/>
          <w:sz w:val="28"/>
          <w:szCs w:val="28"/>
        </w:rPr>
        <w:t>- невысокая доля предприятий производственной сферы, преобладание сферы т</w:t>
      </w:r>
      <w:r>
        <w:rPr>
          <w:rFonts w:ascii="Times New Roman" w:hAnsi="Times New Roman"/>
          <w:color w:val="1B1B1B"/>
          <w:sz w:val="28"/>
          <w:szCs w:val="28"/>
        </w:rPr>
        <w:t>орговли;</w:t>
      </w:r>
    </w:p>
    <w:p w14:paraId="7B7BE45C" w14:textId="77777777" w:rsidR="00D975D2" w:rsidRDefault="00E508FE">
      <w:pPr>
        <w:pStyle w:val="a0"/>
        <w:spacing w:before="120" w:after="120"/>
        <w:jc w:val="both"/>
      </w:pPr>
      <w:r>
        <w:rPr>
          <w:rFonts w:ascii="Times New Roman" w:hAnsi="Times New Roman"/>
          <w:color w:val="1B1B1B"/>
          <w:sz w:val="28"/>
          <w:szCs w:val="28"/>
        </w:rPr>
        <w:t>- снижающаяся предпринимательская активность молодежи в связи с ограничениями по санитарно-эпидемиологической обстановке;</w:t>
      </w:r>
    </w:p>
    <w:p w14:paraId="5AF498E7" w14:textId="77777777" w:rsidR="00D975D2" w:rsidRDefault="00E508FE">
      <w:pPr>
        <w:pStyle w:val="a0"/>
        <w:tabs>
          <w:tab w:val="left" w:pos="0"/>
        </w:tabs>
        <w:spacing w:before="120" w:after="120" w:line="240" w:lineRule="auto"/>
        <w:jc w:val="both"/>
      </w:pP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- незначительно снижающаяся стоимость заемных средств, привлекаемых субъектами малого и среднего предпринимательства для осущ</w:t>
      </w:r>
      <w:r>
        <w:rPr>
          <w:rFonts w:ascii="Times New Roman" w:eastAsia="Times New Roman" w:hAnsi="Times New Roman" w:cs="Times New Roman"/>
          <w:color w:val="1B1B1B"/>
          <w:sz w:val="28"/>
          <w:szCs w:val="28"/>
        </w:rPr>
        <w:t>ествления хозяйственной деятельности.</w:t>
      </w:r>
    </w:p>
    <w:p w14:paraId="749ABCF1" w14:textId="77777777" w:rsidR="00D975D2" w:rsidRDefault="00E508FE">
      <w:pPr>
        <w:shd w:val="clear" w:color="auto" w:fill="FFFFFF"/>
        <w:ind w:left="14"/>
        <w:jc w:val="both"/>
      </w:pPr>
      <w:r>
        <w:rPr>
          <w:rFonts w:ascii="Times New Roman" w:hAnsi="Times New Roman"/>
          <w:sz w:val="28"/>
          <w:szCs w:val="28"/>
        </w:rPr>
        <w:t>Предотвратить  резкое замедление и падение в развитии бизнеса в связи с ограничительными мерами на территории Ростовской области (постановление Правительства Ростовской области от 05.04.2020 № 272), направленными на  п</w:t>
      </w:r>
      <w:r>
        <w:rPr>
          <w:rFonts w:ascii="Times New Roman" w:hAnsi="Times New Roman"/>
          <w:sz w:val="28"/>
          <w:szCs w:val="28"/>
        </w:rPr>
        <w:t>редупреждение распространения новой коронавирусной инфекции (COVID-19),   позволили Программа государственной поддержки и масштабные мероприятия, направленные на сохранение предпринимательства в донском крае (утверждены  Правительством Ростовской области 2</w:t>
      </w:r>
      <w:r>
        <w:rPr>
          <w:rFonts w:ascii="Times New Roman" w:hAnsi="Times New Roman"/>
          <w:sz w:val="28"/>
          <w:szCs w:val="28"/>
        </w:rPr>
        <w:t>9.04.2020).</w:t>
      </w:r>
    </w:p>
    <w:p w14:paraId="6F4F6062" w14:textId="77777777" w:rsidR="00D975D2" w:rsidRDefault="00E508FE">
      <w:pPr>
        <w:shd w:val="clear" w:color="auto" w:fill="FFFFFF"/>
        <w:ind w:left="14"/>
        <w:jc w:val="both"/>
      </w:pPr>
      <w:r>
        <w:rPr>
          <w:rFonts w:ascii="Times New Roman" w:hAnsi="Times New Roman"/>
          <w:sz w:val="28"/>
          <w:szCs w:val="28"/>
        </w:rPr>
        <w:t>В рамках реализации  постановления Администрации города Батайск от 07.04.2020 № 657 «Об утверждении Плана первоочередных мероприятий по обеспечению социальной стабильности и устойчивого развития экономики в муниципальном образовании  «Город Бат</w:t>
      </w:r>
      <w:r>
        <w:rPr>
          <w:rFonts w:ascii="Times New Roman" w:hAnsi="Times New Roman"/>
          <w:sz w:val="28"/>
          <w:szCs w:val="28"/>
        </w:rPr>
        <w:t>айск» в условиях распространения коронавирусной инфекции (COVID-2019) проведен ряд мероприятий, в том числе, по информированию о Плане преодоления экономических последствий новой  коронавирусной инфекции Правительства Российской Федерации и Мерах поддержки</w:t>
      </w:r>
      <w:r>
        <w:rPr>
          <w:rFonts w:ascii="Times New Roman" w:hAnsi="Times New Roman"/>
          <w:sz w:val="28"/>
          <w:szCs w:val="28"/>
        </w:rPr>
        <w:t xml:space="preserve"> бизнеса для преодоления последствий новой коронавирусной инфекции  Ростовской области.</w:t>
      </w:r>
    </w:p>
    <w:p w14:paraId="5331931A" w14:textId="77777777" w:rsidR="00D975D2" w:rsidRDefault="00D975D2">
      <w:pPr>
        <w:pStyle w:val="a0"/>
        <w:tabs>
          <w:tab w:val="left" w:pos="0"/>
        </w:tabs>
        <w:spacing w:after="0" w:line="240" w:lineRule="auto"/>
        <w:jc w:val="center"/>
      </w:pPr>
    </w:p>
    <w:sectPr w:rsidR="00D975D2">
      <w:pgSz w:w="11906" w:h="16838"/>
      <w:pgMar w:top="1134" w:right="567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D2"/>
    <w:rsid w:val="00D975D2"/>
    <w:rsid w:val="00E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EAE"/>
  <w15:docId w15:val="{EC14BF45-F67C-4ED6-90D1-E9D9045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/>
      <w:sz w:val="22"/>
      <w:szCs w:val="22"/>
      <w:lang w:bidi="ar-SA"/>
    </w:rPr>
  </w:style>
  <w:style w:type="paragraph" w:styleId="2">
    <w:name w:val="heading 2"/>
    <w:basedOn w:val="1"/>
    <w:next w:val="a0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Pr>
      <w:b/>
      <w:bCs/>
    </w:rPr>
  </w:style>
  <w:style w:type="character" w:customStyle="1" w:styleId="a5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8">
    <w:name w:val="Символ концевой сноски"/>
    <w:qFormat/>
  </w:style>
  <w:style w:type="character" w:customStyle="1" w:styleId="a9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paragraph" w:styleId="aa">
    <w:name w:val="List"/>
    <w:basedOn w:val="a0"/>
    <w:qFormat/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Красная строка*"/>
    <w:basedOn w:val="a0"/>
    <w:qFormat/>
    <w:pPr>
      <w:widowControl w:val="0"/>
      <w:spacing w:after="120" w:line="240" w:lineRule="auto"/>
      <w:ind w:firstLine="210"/>
    </w:pPr>
    <w:rPr>
      <w:rFonts w:ascii="Times New Roman" w:eastAsia="Times New Roman" w:hAnsi="Times New Roman" w:cs="Calibri"/>
      <w:sz w:val="24"/>
      <w:szCs w:val="20"/>
    </w:rPr>
  </w:style>
  <w:style w:type="table" w:styleId="af1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irovskoe.ru/podderzhka-predprinimatelstva/2116-654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Fin_uprav</dc:creator>
  <dc:description/>
  <cp:lastModifiedBy>ARM-201-2_</cp:lastModifiedBy>
  <cp:revision>2</cp:revision>
  <cp:lastPrinted>2020-12-18T08:30:00Z</cp:lastPrinted>
  <dcterms:created xsi:type="dcterms:W3CDTF">2022-08-02T12:06:00Z</dcterms:created>
  <dcterms:modified xsi:type="dcterms:W3CDTF">2022-08-02T12:06:00Z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